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5C47D5D6" w14:textId="33ED74DA" w:rsidR="00372CA0" w:rsidRPr="003018D7" w:rsidRDefault="001C1D79" w:rsidP="002E6FFB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018D7">
              <w:rPr>
                <w:rFonts w:ascii="Times New Roman" w:hAnsi="Times New Roman" w:cs="Times New Roman"/>
              </w:rPr>
              <w:t>Nekustamā īpašuma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72CA0" w:rsidRPr="003018D7">
              <w:rPr>
                <w:rFonts w:ascii="Times New Roman" w:eastAsia="Calibri" w:hAnsi="Times New Roman" w:cs="Times New Roman"/>
              </w:rPr>
              <w:t>ēkas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Rīgā, </w:t>
            </w:r>
            <w:proofErr w:type="spellStart"/>
            <w:r w:rsidRPr="003018D7">
              <w:rPr>
                <w:rFonts w:ascii="Times New Roman" w:eastAsia="Calibri" w:hAnsi="Times New Roman" w:cs="Times New Roman"/>
                <w:b/>
                <w:bCs/>
              </w:rPr>
              <w:t>Struktoru</w:t>
            </w:r>
            <w:proofErr w:type="spellEnd"/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ielā 14a </w:t>
            </w:r>
            <w:r w:rsidRPr="003018D7">
              <w:rPr>
                <w:rFonts w:ascii="Times New Roman" w:eastAsia="Calibri" w:hAnsi="Times New Roman" w:cs="Times New Roman"/>
              </w:rPr>
              <w:t>(</w:t>
            </w:r>
            <w:r w:rsidRPr="00FD2ECE">
              <w:rPr>
                <w:rFonts w:ascii="Times New Roman" w:eastAsia="Calibri" w:hAnsi="Times New Roman" w:cs="Times New Roman"/>
                <w:i/>
                <w:iCs/>
              </w:rPr>
              <w:t>kadastra Nr.</w:t>
            </w:r>
            <w:r w:rsidR="0029483C" w:rsidRPr="00FD2ECE">
              <w:rPr>
                <w:rFonts w:ascii="Times New Roman" w:eastAsia="Calibri" w:hAnsi="Times New Roman" w:cs="Times New Roman"/>
                <w:i/>
                <w:iCs/>
              </w:rPr>
              <w:t> </w:t>
            </w:r>
            <w:r w:rsidR="00372CA0" w:rsidRPr="00FD2ECE">
              <w:rPr>
                <w:rFonts w:ascii="Times New Roman" w:eastAsia="Calibri" w:hAnsi="Times New Roman" w:cs="Times New Roman"/>
                <w:i/>
                <w:iCs/>
              </w:rPr>
              <w:t>01005890233</w:t>
            </w:r>
            <w:r w:rsidRPr="003018D7">
              <w:rPr>
                <w:rFonts w:ascii="Times New Roman" w:eastAsia="Calibri" w:hAnsi="Times New Roman" w:cs="Times New Roman"/>
              </w:rPr>
              <w:t>)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D2ECE">
              <w:rPr>
                <w:rFonts w:ascii="Times New Roman" w:eastAsia="Calibri" w:hAnsi="Times New Roman" w:cs="Times New Roman"/>
                <w:b/>
                <w:bCs/>
              </w:rPr>
              <w:t xml:space="preserve">nedzīvojamas- 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>darbnīcas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telpa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s 1. stāvā </w:t>
            </w:r>
            <w:r w:rsidR="00372CA0" w:rsidRPr="003018D7">
              <w:rPr>
                <w:rFonts w:ascii="Times New Roman" w:eastAsia="Calibri" w:hAnsi="Times New Roman" w:cs="Times New Roman"/>
              </w:rPr>
              <w:t>(</w:t>
            </w:r>
            <w:r w:rsidR="00372CA0" w:rsidRPr="00FD2ECE">
              <w:rPr>
                <w:rFonts w:ascii="Times New Roman" w:eastAsia="Calibri" w:hAnsi="Times New Roman" w:cs="Times New Roman"/>
                <w:i/>
                <w:iCs/>
              </w:rPr>
              <w:t>būves kadastra apzīmējums Nr. </w:t>
            </w:r>
            <w:r w:rsidR="00372CA0" w:rsidRPr="00FD2ECE">
              <w:rPr>
                <w:rFonts w:ascii="Times New Roman" w:eastAsia="Calibri" w:hAnsi="Times New Roman" w:cs="Times New Roman"/>
                <w:i/>
                <w:iCs/>
              </w:rPr>
              <w:t>0100 089 0244 001</w:t>
            </w:r>
            <w:r w:rsidR="003018D7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25E50898" w14:textId="41180B1A" w:rsidR="001C1D79" w:rsidRPr="003018D7" w:rsidRDefault="001C1D79" w:rsidP="00372C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3018D7">
              <w:rPr>
                <w:rFonts w:ascii="Times New Roman" w:eastAsia="Calibri" w:hAnsi="Times New Roman" w:cs="Times New Roman"/>
                <w:b/>
                <w:bCs/>
              </w:rPr>
              <w:t>Nr.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>002-3 ar platību 12,2 m2</w:t>
            </w:r>
            <w:r w:rsidRPr="003018D7">
              <w:rPr>
                <w:rFonts w:ascii="Times New Roman" w:eastAsia="Calibri" w:hAnsi="Times New Roman" w:cs="Times New Roman"/>
              </w:rPr>
              <w:t xml:space="preserve"> (</w:t>
            </w:r>
            <w:r w:rsidR="00372CA0" w:rsidRPr="003018D7">
              <w:rPr>
                <w:rFonts w:ascii="Times New Roman" w:eastAsia="Calibri" w:hAnsi="Times New Roman" w:cs="Times New Roman"/>
                <w:i/>
                <w:iCs/>
              </w:rPr>
              <w:t>divpadsmit</w:t>
            </w:r>
            <w:r w:rsidRPr="003018D7">
              <w:rPr>
                <w:rFonts w:ascii="Times New Roman" w:eastAsia="Calibri" w:hAnsi="Times New Roman" w:cs="Times New Roman"/>
                <w:i/>
                <w:iCs/>
              </w:rPr>
              <w:t xml:space="preserve"> komats </w:t>
            </w:r>
            <w:r w:rsidR="00372CA0" w:rsidRPr="003018D7">
              <w:rPr>
                <w:rFonts w:ascii="Times New Roman" w:eastAsia="Calibri" w:hAnsi="Times New Roman" w:cs="Times New Roman"/>
                <w:i/>
                <w:iCs/>
              </w:rPr>
              <w:t>divi</w:t>
            </w:r>
            <w:r w:rsidRPr="003018D7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Pr="003018D7">
              <w:rPr>
                <w:rFonts w:ascii="Times New Roman" w:eastAsia="Calibri" w:hAnsi="Times New Roman" w:cs="Times New Roman"/>
              </w:rPr>
              <w:t>)</w:t>
            </w:r>
            <w:r w:rsidR="00372CA0" w:rsidRPr="003018D7">
              <w:rPr>
                <w:rFonts w:ascii="Times New Roman" w:eastAsia="Calibri" w:hAnsi="Times New Roman" w:cs="Times New Roman"/>
              </w:rPr>
              <w:t>;</w:t>
            </w:r>
          </w:p>
          <w:p w14:paraId="0DB330C1" w14:textId="2640F7FB" w:rsidR="00372CA0" w:rsidRPr="0057489D" w:rsidRDefault="003018D7" w:rsidP="00372C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3018D7">
              <w:rPr>
                <w:rFonts w:ascii="Times New Roman" w:eastAsia="Calibri" w:hAnsi="Times New Roman" w:cs="Times New Roman"/>
                <w:b/>
                <w:bCs/>
              </w:rPr>
              <w:t>Nr.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>002-4 ar platību 16,2 m2</w:t>
            </w:r>
            <w:r w:rsidRPr="003018D7">
              <w:rPr>
                <w:rFonts w:ascii="Times New Roman" w:eastAsia="Calibri" w:hAnsi="Times New Roman" w:cs="Times New Roman"/>
              </w:rPr>
              <w:t xml:space="preserve"> (</w:t>
            </w:r>
            <w:r w:rsidRPr="003018D7">
              <w:rPr>
                <w:rFonts w:ascii="Times New Roman" w:eastAsia="Calibri" w:hAnsi="Times New Roman" w:cs="Times New Roman"/>
                <w:i/>
                <w:iCs/>
              </w:rPr>
              <w:t>sešpadsmit komats divi kvadrātmetri</w:t>
            </w:r>
            <w:r w:rsidRPr="003018D7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1263 Skolas, universitātes un zinātniskajai pētniecībai paredzētās ēkas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02E8D84F" w:rsidR="001C1D79" w:rsidRPr="003018D7" w:rsidRDefault="001C1D79" w:rsidP="003018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lv-LV"/>
              </w:rPr>
            </w:pPr>
            <w:r w:rsidRPr="003018D7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3018D7">
              <w:rPr>
                <w:rFonts w:ascii="Times New Roman" w:hAnsi="Times New Roman" w:cs="Times New Roman"/>
                <w:b/>
                <w:bCs/>
              </w:rPr>
              <w:t>darbnīcas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 w:rsidR="003018D7">
              <w:rPr>
                <w:rFonts w:ascii="Times New Roman" w:hAnsi="Times New Roman" w:cs="Times New Roman"/>
                <w:b/>
                <w:bCs/>
              </w:rPr>
              <w:t>002-3</w:t>
            </w:r>
            <w:r w:rsidRPr="003018D7">
              <w:rPr>
                <w:rFonts w:ascii="Times New Roman" w:hAnsi="Times New Roman" w:cs="Times New Roman"/>
              </w:rPr>
              <w:t xml:space="preserve">- </w:t>
            </w:r>
            <w:r w:rsidR="003018D7">
              <w:rPr>
                <w:rFonts w:ascii="Times New Roman" w:hAnsi="Times New Roman" w:cs="Times New Roman"/>
                <w:b/>
                <w:bCs/>
                <w:u w:val="single"/>
              </w:rPr>
              <w:t>3,32</w:t>
            </w:r>
            <w:r w:rsidRPr="003018D7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3018D7">
              <w:rPr>
                <w:rFonts w:ascii="Times New Roman" w:hAnsi="Times New Roman" w:cs="Times New Roman"/>
                <w:i/>
                <w:iCs/>
                <w:u w:val="single"/>
              </w:rPr>
              <w:t>trīs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="003018D7">
              <w:rPr>
                <w:rFonts w:ascii="Times New Roman" w:hAnsi="Times New Roman" w:cs="Times New Roman"/>
                <w:i/>
                <w:iCs/>
                <w:u w:val="single"/>
              </w:rPr>
              <w:t>32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3018D7">
              <w:rPr>
                <w:rFonts w:ascii="Times New Roman" w:hAnsi="Times New Roman"/>
                <w:u w:val="single"/>
              </w:rPr>
              <w:t>ir ietverti izdevumi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3018D7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3018D7">
              <w:rPr>
                <w:rFonts w:ascii="Times New Roman" w:hAnsi="Times New Roman"/>
                <w:lang w:eastAsia="lv-LV"/>
              </w:rPr>
              <w:t>:</w:t>
            </w:r>
          </w:p>
          <w:p w14:paraId="6B36684D" w14:textId="05A012FC" w:rsidR="001C1D79" w:rsidRPr="0057489D" w:rsidRDefault="001C1D79" w:rsidP="002E6FFB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3018D7">
              <w:rPr>
                <w:rFonts w:ascii="Times New Roman" w:hAnsi="Times New Roman" w:cs="Times New Roman"/>
                <w:i/>
                <w:iCs/>
              </w:rPr>
              <w:t>3,02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18D7">
              <w:rPr>
                <w:rFonts w:ascii="Times New Roman" w:hAnsi="Times New Roman" w:cs="Times New Roman"/>
                <w:i/>
              </w:rPr>
              <w:t>trīs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 w:rsidR="003018D7">
              <w:rPr>
                <w:rFonts w:ascii="Times New Roman" w:hAnsi="Times New Roman" w:cs="Times New Roman"/>
                <w:i/>
              </w:rPr>
              <w:t>02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7E5D4318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5AE3FA09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76FC1118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3F28C027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19606A84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22E31555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7CB62D60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5FD47D03" w14:textId="77777777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34FEEE86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3018D7" w14:paraId="78B248C4" w14:textId="77777777" w:rsidTr="002E6FFB">
        <w:trPr>
          <w:trHeight w:val="1176"/>
        </w:trPr>
        <w:tc>
          <w:tcPr>
            <w:tcW w:w="704" w:type="dxa"/>
          </w:tcPr>
          <w:p w14:paraId="262224A1" w14:textId="77777777" w:rsidR="003018D7" w:rsidRDefault="003018D7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E3F455" w14:textId="77777777" w:rsidR="003018D7" w:rsidRDefault="003018D7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799984F" w14:textId="34ABA513" w:rsidR="003018D7" w:rsidRPr="003018D7" w:rsidRDefault="003018D7" w:rsidP="003018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lv-LV"/>
              </w:rPr>
            </w:pPr>
            <w:r w:rsidRPr="003018D7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>
              <w:rPr>
                <w:rFonts w:ascii="Times New Roman" w:hAnsi="Times New Roman" w:cs="Times New Roman"/>
                <w:b/>
                <w:bCs/>
              </w:rPr>
              <w:t>darbnīcas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>
              <w:rPr>
                <w:rFonts w:ascii="Times New Roman" w:hAnsi="Times New Roman" w:cs="Times New Roman"/>
                <w:b/>
                <w:bCs/>
              </w:rPr>
              <w:t>002-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018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3,32</w:t>
            </w:r>
            <w:r w:rsidRPr="003018D7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trīs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32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3018D7">
              <w:rPr>
                <w:rFonts w:ascii="Times New Roman" w:hAnsi="Times New Roman"/>
                <w:u w:val="single"/>
              </w:rPr>
              <w:t>ir ietverti izdevumi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3018D7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3018D7">
              <w:rPr>
                <w:rFonts w:ascii="Times New Roman" w:hAnsi="Times New Roman"/>
                <w:lang w:eastAsia="lv-LV"/>
              </w:rPr>
              <w:t>:</w:t>
            </w:r>
          </w:p>
          <w:p w14:paraId="3A74E05F" w14:textId="77777777" w:rsidR="003018D7" w:rsidRPr="0057489D" w:rsidRDefault="003018D7" w:rsidP="003018D7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3,02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trīs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02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30D075E7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4847ED25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0A617033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5719FA24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1A9E17F7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3E0A0CE3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229D361C" w14:textId="77777777" w:rsidR="003018D7" w:rsidRPr="003018D7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3018D7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04319B41" w14:textId="77777777" w:rsidR="003018D7" w:rsidRPr="00286C44" w:rsidRDefault="003018D7" w:rsidP="003018D7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E1DC03C" w14:textId="77777777" w:rsidR="003018D7" w:rsidRPr="001B46B5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5664C3C5" w14:textId="77777777" w:rsidR="003018D7" w:rsidRPr="001B46B5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72210B10" w14:textId="72B72DB6" w:rsidR="003018D7" w:rsidRPr="003018D7" w:rsidRDefault="003018D7" w:rsidP="003018D7">
            <w:pPr>
              <w:pStyle w:val="ListParagraph"/>
              <w:ind w:left="59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2371ACCC" w14:textId="21192837" w:rsidR="001C1D79" w:rsidRPr="003018D7" w:rsidRDefault="003018D7" w:rsidP="003018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18D7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pakalpojumiem: 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7FE1129A" w:rsidR="001C1D79" w:rsidRPr="003018D7" w:rsidRDefault="003018D7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 w:rsidRPr="003018D7">
              <w:rPr>
                <w:rFonts w:ascii="Times New Roman" w:hAnsi="Times New Roman"/>
                <w:b/>
                <w:bCs/>
              </w:rPr>
              <w:t>N</w:t>
            </w:r>
            <w:r w:rsidRPr="003018D7">
              <w:rPr>
                <w:rFonts w:ascii="Times New Roman" w:hAnsi="Times New Roman"/>
                <w:b/>
                <w:bCs/>
              </w:rPr>
              <w:t xml:space="preserve">omas tiesību pretendentam </w:t>
            </w:r>
            <w:r w:rsidRPr="003018D7">
              <w:rPr>
                <w:rFonts w:ascii="Times New Roman" w:hAnsi="Times New Roman"/>
                <w:b/>
                <w:bCs/>
              </w:rPr>
              <w:t>ir</w:t>
            </w:r>
            <w:r w:rsidRPr="003018D7">
              <w:rPr>
                <w:rFonts w:ascii="Times New Roman" w:hAnsi="Times New Roman"/>
                <w:b/>
                <w:bCs/>
              </w:rPr>
              <w:t xml:space="preserve"> iespēj</w:t>
            </w:r>
            <w:r w:rsidRPr="003018D7">
              <w:rPr>
                <w:rFonts w:ascii="Times New Roman" w:hAnsi="Times New Roman"/>
                <w:b/>
                <w:bCs/>
              </w:rPr>
              <w:t>a</w:t>
            </w:r>
            <w:r w:rsidRPr="003018D7">
              <w:rPr>
                <w:rFonts w:ascii="Times New Roman" w:hAnsi="Times New Roman"/>
                <w:b/>
                <w:bCs/>
              </w:rPr>
              <w:t xml:space="preserve"> pieteikties uz katru nomas objekt</w:t>
            </w:r>
            <w:r w:rsidRPr="003018D7">
              <w:rPr>
                <w:rFonts w:ascii="Times New Roman" w:hAnsi="Times New Roman"/>
                <w:b/>
                <w:bCs/>
              </w:rPr>
              <w:t>u (darbnīcas telp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3018D7">
              <w:rPr>
                <w:rFonts w:ascii="Times New Roman" w:hAnsi="Times New Roman"/>
                <w:b/>
                <w:bCs/>
              </w:rPr>
              <w:t xml:space="preserve">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Nr. 002-3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un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>Nr. 002-4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018D7">
              <w:rPr>
                <w:rFonts w:ascii="Times New Roman" w:hAnsi="Times New Roman"/>
                <w:b/>
                <w:bCs/>
              </w:rPr>
              <w:t>atsevišķi</w:t>
            </w:r>
            <w:r>
              <w:rPr>
                <w:rFonts w:ascii="Times New Roman" w:hAnsi="Times New Roman"/>
                <w:b/>
                <w:bCs/>
              </w:rPr>
              <w:t xml:space="preserve"> vai uz telpām kopā</w:t>
            </w:r>
            <w:r w:rsidR="0029483C">
              <w:rPr>
                <w:rFonts w:ascii="Times New Roman" w:hAnsi="Times New Roman"/>
                <w:b/>
                <w:bCs/>
              </w:rPr>
              <w:t xml:space="preserve">, norādot to izsoles pieteikumā.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77777777" w:rsidR="001C1D79" w:rsidRPr="007D4C83" w:rsidRDefault="001C1D79" w:rsidP="002E6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77777777" w:rsidR="003018D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dienu laikā no līguma noslēgšanas dienas un Iznomātāja rēķina saņemšanas iemaksā Iznomātāja kontā drošības naudu vismaz 2 (divu) mēnešu maksājumu apmērā. </w:t>
            </w:r>
          </w:p>
          <w:p w14:paraId="55D55938" w14:textId="1E267392" w:rsidR="001C1D79" w:rsidRPr="00A250DC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2A87CD60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7E3B7D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7E3B7D">
              <w:rPr>
                <w:rFonts w:ascii="Times New Roman" w:hAnsi="Times New Roman" w:cs="Times New Roman"/>
                <w:b/>
                <w:bCs/>
              </w:rPr>
              <w:t>marts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31DB882" w14:textId="77777777" w:rsidR="001C1D79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563C565A" w14:textId="77777777" w:rsidR="001C1D79" w:rsidRPr="004505D5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7EB3CF29" w:rsidR="001C1D79" w:rsidRPr="00F238F0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7E3B7D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7E3B7D">
              <w:rPr>
                <w:rFonts w:ascii="Times New Roman" w:eastAsia="Times New Roman" w:hAnsi="Times New Roman" w:cs="Times New Roman"/>
                <w:lang w:eastAsia="ar-SA"/>
              </w:rPr>
              <w:t>martā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FD86F" w14:textId="3CA61A0E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10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martam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10:00.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2FE468A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688F336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58B37F09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791D51D6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4D96936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53A6412A" w14:textId="77777777" w:rsidR="001C1D79" w:rsidRPr="0057171E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8E4731B" w14:textId="77777777" w:rsidR="001C1D79" w:rsidRPr="00B77672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Rīgā, </w:t>
            </w:r>
            <w:proofErr w:type="spellStart"/>
            <w:r>
              <w:rPr>
                <w:rFonts w:ascii="Times New Roman" w:hAnsi="Times New Roman" w:cs="Times New Roman"/>
              </w:rPr>
              <w:t>Struktoru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ielā 14a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F20B005" w14:textId="77777777" w:rsidR="001C1D79" w:rsidRPr="004505D5" w:rsidRDefault="001C1D79" w:rsidP="002E6FFB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1C1D79"/>
    <w:rsid w:val="0029483C"/>
    <w:rsid w:val="003018D7"/>
    <w:rsid w:val="00361C73"/>
    <w:rsid w:val="00372CA0"/>
    <w:rsid w:val="007B256A"/>
    <w:rsid w:val="007E3B7D"/>
    <w:rsid w:val="00CD60C0"/>
    <w:rsid w:val="00DA1F07"/>
    <w:rsid w:val="00F65AC7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5654</Words>
  <Characters>3223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6</cp:revision>
  <dcterms:created xsi:type="dcterms:W3CDTF">2025-02-26T12:15:00Z</dcterms:created>
  <dcterms:modified xsi:type="dcterms:W3CDTF">2025-02-26T14:20:00Z</dcterms:modified>
</cp:coreProperties>
</file>